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shd w:val="clear" w:color="auto" w:fill="FBE9D1"/>
        <w:tblLook w:val="04A0" w:firstRow="1" w:lastRow="0" w:firstColumn="1" w:lastColumn="0" w:noHBand="0" w:noVBand="1"/>
      </w:tblPr>
      <w:tblGrid>
        <w:gridCol w:w="5949"/>
        <w:gridCol w:w="3113"/>
      </w:tblGrid>
      <w:tr w:rsidR="003A2337" w:rsidTr="001A5D33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FBE9D1"/>
            <w:vAlign w:val="center"/>
          </w:tcPr>
          <w:p w:rsidR="003A2337" w:rsidRPr="002C221F" w:rsidRDefault="003A2337" w:rsidP="002C221F">
            <w:pPr>
              <w:spacing w:before="120"/>
              <w:jc w:val="center"/>
              <w:rPr>
                <w:rFonts w:ascii="Arial" w:hAnsi="Arial" w:cs="Arial"/>
                <w:b/>
                <w:color w:val="993300"/>
                <w:spacing w:val="40"/>
                <w:sz w:val="44"/>
                <w:szCs w:val="44"/>
                <w:lang w:eastAsia="ar-SA"/>
              </w:rPr>
            </w:pPr>
            <w:r w:rsidRPr="002C221F">
              <w:rPr>
                <w:rFonts w:ascii="Arial" w:hAnsi="Arial" w:cs="Arial"/>
                <w:b/>
                <w:color w:val="993300"/>
                <w:spacing w:val="40"/>
                <w:sz w:val="44"/>
                <w:szCs w:val="44"/>
                <w:lang w:eastAsia="ar-SA"/>
              </w:rPr>
              <w:t>PRÉSENTATION DE</w:t>
            </w:r>
          </w:p>
          <w:p w:rsidR="003A2337" w:rsidRPr="002C221F" w:rsidRDefault="003A2337" w:rsidP="002C221F">
            <w:pPr>
              <w:spacing w:before="120"/>
              <w:jc w:val="center"/>
              <w:rPr>
                <w:rFonts w:ascii="Arial" w:hAnsi="Arial" w:cs="Arial"/>
                <w:b/>
                <w:color w:val="993300"/>
                <w:spacing w:val="40"/>
                <w:sz w:val="44"/>
                <w:szCs w:val="44"/>
                <w:lang w:eastAsia="ar-SA"/>
              </w:rPr>
            </w:pPr>
            <w:r w:rsidRPr="002C221F">
              <w:rPr>
                <w:rFonts w:ascii="Arial" w:hAnsi="Arial" w:cs="Arial"/>
                <w:b/>
                <w:color w:val="993300"/>
                <w:spacing w:val="40"/>
                <w:sz w:val="44"/>
                <w:szCs w:val="44"/>
                <w:lang w:eastAsia="ar-SA"/>
              </w:rPr>
              <w:t>LA MÉTHODE ARCHI</w:t>
            </w:r>
          </w:p>
          <w:p w:rsidR="006B20B7" w:rsidRDefault="006B20B7" w:rsidP="001A5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FBE9D1"/>
            <w:vAlign w:val="center"/>
          </w:tcPr>
          <w:p w:rsidR="003A2337" w:rsidRDefault="003A2337" w:rsidP="00BC4459">
            <w:pPr>
              <w:jc w:val="both"/>
              <w:rPr>
                <w:sz w:val="24"/>
                <w:szCs w:val="24"/>
              </w:rPr>
            </w:pPr>
            <w:r w:rsidRPr="00213109">
              <w:rPr>
                <w:rFonts w:ascii="Arial" w:hAnsi="Arial" w:cs="Arial"/>
                <w:b/>
                <w:noProof/>
                <w:color w:val="993300"/>
                <w:sz w:val="110"/>
                <w:szCs w:val="110"/>
              </w:rPr>
              <w:drawing>
                <wp:inline distT="0" distB="0" distL="0" distR="0" wp14:anchorId="285F3BDB" wp14:editId="6887F921">
                  <wp:extent cx="1712068" cy="1188919"/>
                  <wp:effectExtent l="0" t="0" r="2540" b="0"/>
                  <wp:docPr id="8" name="Image 8" descr="C:\Users\Christophe Drénou\Documents\ARCHI\LOGO ARCHI\Version finale\ARCHI-CNPF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ophe Drénou\Documents\ARCHI\LOGO ARCHI\Version finale\ARCHI-CNPF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17" cy="120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14F" w:rsidRDefault="00D7414F" w:rsidP="00BC4459">
      <w:pPr>
        <w:jc w:val="both"/>
        <w:rPr>
          <w:sz w:val="24"/>
          <w:szCs w:val="24"/>
        </w:rPr>
      </w:pPr>
    </w:p>
    <w:p w:rsidR="00BC4459" w:rsidRPr="00BC4459" w:rsidRDefault="00BC4459" w:rsidP="00BC4459">
      <w:pPr>
        <w:jc w:val="both"/>
        <w:rPr>
          <w:sz w:val="24"/>
          <w:szCs w:val="24"/>
        </w:rPr>
      </w:pPr>
      <w:r w:rsidRPr="001A5D33">
        <w:rPr>
          <w:rFonts w:ascii="Arial" w:hAnsi="Arial" w:cs="Arial"/>
          <w:b/>
          <w:color w:val="993300"/>
          <w:sz w:val="44"/>
          <w:szCs w:val="44"/>
          <w:lang w:eastAsia="ar-SA"/>
        </w:rPr>
        <w:t>D</w:t>
      </w:r>
      <w:r w:rsidRPr="001A5D33">
        <w:rPr>
          <w:rFonts w:ascii="Arial" w:hAnsi="Arial" w:cs="Arial"/>
          <w:b/>
          <w:color w:val="993300"/>
          <w:sz w:val="24"/>
          <w:szCs w:val="24"/>
          <w:lang w:eastAsia="ar-SA"/>
        </w:rPr>
        <w:t xml:space="preserve">éfinition : </w:t>
      </w:r>
      <w:r>
        <w:rPr>
          <w:sz w:val="24"/>
          <w:szCs w:val="24"/>
        </w:rPr>
        <w:t>m</w:t>
      </w:r>
      <w:r w:rsidRPr="00BC4459">
        <w:rPr>
          <w:sz w:val="24"/>
          <w:szCs w:val="24"/>
        </w:rPr>
        <w:t xml:space="preserve">éthode de diagnostic du </w:t>
      </w:r>
      <w:r w:rsidRPr="00BC4459">
        <w:rPr>
          <w:sz w:val="24"/>
          <w:szCs w:val="24"/>
          <w:u w:val="single"/>
        </w:rPr>
        <w:t>dépérissement</w:t>
      </w:r>
      <w:r w:rsidRPr="00BC4459">
        <w:rPr>
          <w:sz w:val="24"/>
          <w:szCs w:val="24"/>
        </w:rPr>
        <w:t xml:space="preserve"> et des capacités de </w:t>
      </w:r>
      <w:r w:rsidRPr="00BC4459">
        <w:rPr>
          <w:sz w:val="24"/>
          <w:szCs w:val="24"/>
          <w:u w:val="single"/>
        </w:rPr>
        <w:t>résilience</w:t>
      </w:r>
      <w:r w:rsidRPr="00BC4459">
        <w:rPr>
          <w:sz w:val="24"/>
          <w:szCs w:val="24"/>
        </w:rPr>
        <w:t xml:space="preserve"> des arbres basée sur l’</w:t>
      </w:r>
      <w:r w:rsidRPr="00BC4459">
        <w:rPr>
          <w:sz w:val="24"/>
          <w:szCs w:val="24"/>
          <w:u w:val="single"/>
        </w:rPr>
        <w:t>analyse architecturale</w:t>
      </w:r>
      <w:r w:rsidRPr="00BC4459">
        <w:rPr>
          <w:sz w:val="24"/>
          <w:szCs w:val="24"/>
        </w:rPr>
        <w:t xml:space="preserve"> des parties aériennes</w:t>
      </w:r>
      <w:r>
        <w:rPr>
          <w:sz w:val="24"/>
          <w:szCs w:val="24"/>
        </w:rPr>
        <w:t>.</w:t>
      </w:r>
    </w:p>
    <w:p w:rsidR="00BC4459" w:rsidRDefault="00BC4459" w:rsidP="00BC4459">
      <w:pPr>
        <w:jc w:val="both"/>
        <w:rPr>
          <w:sz w:val="24"/>
          <w:szCs w:val="24"/>
        </w:rPr>
      </w:pPr>
    </w:p>
    <w:p w:rsidR="00BC4459" w:rsidRPr="00C9564B" w:rsidRDefault="00BC4459" w:rsidP="00BC4459">
      <w:pPr>
        <w:jc w:val="both"/>
        <w:rPr>
          <w:sz w:val="24"/>
          <w:szCs w:val="24"/>
        </w:rPr>
      </w:pPr>
      <w:r w:rsidRPr="001A5D33">
        <w:rPr>
          <w:rFonts w:ascii="Arial" w:hAnsi="Arial" w:cs="Arial"/>
          <w:b/>
          <w:color w:val="993300"/>
          <w:sz w:val="44"/>
          <w:szCs w:val="44"/>
          <w:lang w:eastAsia="ar-SA"/>
        </w:rPr>
        <w:t>P</w:t>
      </w:r>
      <w:r w:rsidRPr="001A5D33">
        <w:rPr>
          <w:rFonts w:ascii="Arial" w:hAnsi="Arial" w:cs="Arial"/>
          <w:b/>
          <w:color w:val="993300"/>
          <w:sz w:val="24"/>
          <w:szCs w:val="24"/>
          <w:lang w:eastAsia="ar-SA"/>
        </w:rPr>
        <w:t>rincipe :</w:t>
      </w:r>
      <w:r w:rsidRPr="001A5D33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CF4313">
        <w:rPr>
          <w:sz w:val="24"/>
          <w:szCs w:val="24"/>
        </w:rPr>
        <w:t>e principe est de réaliser deux séries d’observations. La première concerne les symptômes de dégradation du ho</w:t>
      </w:r>
      <w:r>
        <w:rPr>
          <w:sz w:val="24"/>
          <w:szCs w:val="24"/>
        </w:rPr>
        <w:t>uppier (ramification anormale, mortalité, etc.</w:t>
      </w:r>
      <w:r w:rsidRPr="00CF4313">
        <w:rPr>
          <w:sz w:val="24"/>
          <w:szCs w:val="24"/>
        </w:rPr>
        <w:t>); la deuxième porte sur les processus de restauration du houppier (</w:t>
      </w:r>
      <w:r>
        <w:rPr>
          <w:sz w:val="24"/>
          <w:szCs w:val="24"/>
        </w:rPr>
        <w:t xml:space="preserve">présence </w:t>
      </w:r>
      <w:r w:rsidRPr="00CF4313">
        <w:rPr>
          <w:sz w:val="24"/>
          <w:szCs w:val="24"/>
        </w:rPr>
        <w:t xml:space="preserve">de gourmands, </w:t>
      </w:r>
      <w:r>
        <w:rPr>
          <w:sz w:val="24"/>
          <w:szCs w:val="24"/>
        </w:rPr>
        <w:t>nature de ceux-ci, etc.</w:t>
      </w:r>
      <w:r w:rsidRPr="00CF4313">
        <w:rPr>
          <w:sz w:val="24"/>
          <w:szCs w:val="24"/>
        </w:rPr>
        <w:t xml:space="preserve">). L’étude du rapport de force entre ces processus antagonistes –dégradation et restauration- permet de porter un diagnostic sur l’arbre. </w:t>
      </w:r>
      <w:r>
        <w:rPr>
          <w:sz w:val="24"/>
          <w:szCs w:val="24"/>
        </w:rPr>
        <w:t>Des clés de détermination se déclinant</w:t>
      </w:r>
      <w:r w:rsidR="00AA361D">
        <w:rPr>
          <w:sz w:val="24"/>
          <w:szCs w:val="24"/>
        </w:rPr>
        <w:t xml:space="preserve"> essence par essence, hiérarchisent</w:t>
      </w:r>
      <w:r>
        <w:rPr>
          <w:sz w:val="24"/>
          <w:szCs w:val="24"/>
        </w:rPr>
        <w:t xml:space="preserve"> </w:t>
      </w:r>
      <w:r w:rsidR="00AA361D">
        <w:rPr>
          <w:sz w:val="24"/>
          <w:szCs w:val="24"/>
        </w:rPr>
        <w:t xml:space="preserve">l’ensemble des observations </w:t>
      </w:r>
      <w:r w:rsidRPr="00CF4313">
        <w:rPr>
          <w:sz w:val="24"/>
          <w:szCs w:val="24"/>
        </w:rPr>
        <w:t>et conduit l’utilisa</w:t>
      </w:r>
      <w:r>
        <w:rPr>
          <w:sz w:val="24"/>
          <w:szCs w:val="24"/>
        </w:rPr>
        <w:t>teur vers six sorties possibles :</w:t>
      </w:r>
      <w:r w:rsidRPr="00CF4313">
        <w:rPr>
          <w:sz w:val="24"/>
          <w:szCs w:val="24"/>
        </w:rPr>
        <w:t xml:space="preserve"> l’arbre </w:t>
      </w:r>
      <w:r w:rsidRPr="00AA361D">
        <w:rPr>
          <w:sz w:val="24"/>
          <w:szCs w:val="24"/>
          <w:u w:val="single"/>
        </w:rPr>
        <w:t>sain</w:t>
      </w:r>
      <w:r>
        <w:rPr>
          <w:sz w:val="24"/>
          <w:szCs w:val="24"/>
        </w:rPr>
        <w:t xml:space="preserve"> (architecture normale)</w:t>
      </w:r>
      <w:r w:rsidRPr="00CF4313">
        <w:rPr>
          <w:sz w:val="24"/>
          <w:szCs w:val="24"/>
        </w:rPr>
        <w:t xml:space="preserve">, l’arbre </w:t>
      </w:r>
      <w:r w:rsidRPr="00AA361D">
        <w:rPr>
          <w:sz w:val="24"/>
          <w:szCs w:val="24"/>
          <w:u w:val="single"/>
        </w:rPr>
        <w:t>stressé</w:t>
      </w:r>
      <w:r>
        <w:rPr>
          <w:sz w:val="24"/>
          <w:szCs w:val="24"/>
        </w:rPr>
        <w:t xml:space="preserve"> (écart à la normale)</w:t>
      </w:r>
      <w:r w:rsidRPr="00CF4313">
        <w:rPr>
          <w:sz w:val="24"/>
          <w:szCs w:val="24"/>
        </w:rPr>
        <w:t xml:space="preserve">, l’arbre </w:t>
      </w:r>
      <w:r w:rsidRPr="00AA361D">
        <w:rPr>
          <w:sz w:val="24"/>
          <w:szCs w:val="24"/>
          <w:u w:val="single"/>
        </w:rPr>
        <w:t>résilien</w:t>
      </w:r>
      <w:r w:rsidRPr="00CF4313">
        <w:rPr>
          <w:sz w:val="24"/>
          <w:szCs w:val="24"/>
        </w:rPr>
        <w:t>t</w:t>
      </w:r>
      <w:r>
        <w:rPr>
          <w:sz w:val="24"/>
          <w:szCs w:val="24"/>
        </w:rPr>
        <w:t xml:space="preserve"> (retour à la normale)</w:t>
      </w:r>
      <w:r w:rsidRPr="00CF4313">
        <w:rPr>
          <w:sz w:val="24"/>
          <w:szCs w:val="24"/>
        </w:rPr>
        <w:t xml:space="preserve">, l’arbre en </w:t>
      </w:r>
      <w:r w:rsidRPr="00AA361D">
        <w:rPr>
          <w:sz w:val="24"/>
          <w:szCs w:val="24"/>
          <w:u w:val="single"/>
        </w:rPr>
        <w:t>descente de cime</w:t>
      </w:r>
      <w:r>
        <w:rPr>
          <w:sz w:val="24"/>
          <w:szCs w:val="24"/>
        </w:rPr>
        <w:t xml:space="preserve"> (construction d’un nouveau houppier sous le houppier d’origine)</w:t>
      </w:r>
      <w:r w:rsidR="00AA361D">
        <w:rPr>
          <w:sz w:val="24"/>
          <w:szCs w:val="24"/>
        </w:rPr>
        <w:t>,</w:t>
      </w:r>
      <w:r w:rsidRPr="00CF4313">
        <w:rPr>
          <w:sz w:val="24"/>
          <w:szCs w:val="24"/>
        </w:rPr>
        <w:t xml:space="preserve"> l’arbre en </w:t>
      </w:r>
      <w:r w:rsidRPr="00AA361D">
        <w:rPr>
          <w:sz w:val="24"/>
          <w:szCs w:val="24"/>
          <w:u w:val="single"/>
        </w:rPr>
        <w:t>dépérissement irréversible</w:t>
      </w:r>
      <w:r>
        <w:rPr>
          <w:sz w:val="24"/>
          <w:szCs w:val="24"/>
        </w:rPr>
        <w:t xml:space="preserve"> (point de </w:t>
      </w:r>
      <w:proofErr w:type="spellStart"/>
      <w:r>
        <w:rPr>
          <w:sz w:val="24"/>
          <w:szCs w:val="24"/>
        </w:rPr>
        <w:t>non retour</w:t>
      </w:r>
      <w:proofErr w:type="spellEnd"/>
      <w:r>
        <w:rPr>
          <w:sz w:val="24"/>
          <w:szCs w:val="24"/>
        </w:rPr>
        <w:t xml:space="preserve"> à la normale)</w:t>
      </w:r>
      <w:r w:rsidR="00AA361D">
        <w:rPr>
          <w:sz w:val="24"/>
          <w:szCs w:val="24"/>
        </w:rPr>
        <w:t xml:space="preserve"> et l’arbre </w:t>
      </w:r>
      <w:r w:rsidR="00AA361D" w:rsidRPr="00AA361D">
        <w:rPr>
          <w:sz w:val="24"/>
          <w:szCs w:val="24"/>
          <w:u w:val="single"/>
        </w:rPr>
        <w:t>mort</w:t>
      </w:r>
      <w:r w:rsidR="00AA361D">
        <w:rPr>
          <w:sz w:val="24"/>
          <w:szCs w:val="24"/>
        </w:rPr>
        <w:t>.</w:t>
      </w:r>
    </w:p>
    <w:p w:rsidR="00BC4459" w:rsidRPr="00CF4313" w:rsidRDefault="00BC4459" w:rsidP="00BC4459">
      <w:pPr>
        <w:jc w:val="both"/>
        <w:rPr>
          <w:sz w:val="24"/>
          <w:szCs w:val="24"/>
        </w:rPr>
      </w:pPr>
    </w:p>
    <w:p w:rsidR="00BC4459" w:rsidRDefault="00BC4459" w:rsidP="00BC4459">
      <w:pPr>
        <w:jc w:val="both"/>
        <w:rPr>
          <w:sz w:val="24"/>
          <w:szCs w:val="24"/>
        </w:rPr>
      </w:pPr>
    </w:p>
    <w:p w:rsidR="00BC4459" w:rsidRPr="00CF4313" w:rsidRDefault="00BC4459" w:rsidP="00BC4459">
      <w:pPr>
        <w:jc w:val="center"/>
        <w:rPr>
          <w:sz w:val="24"/>
          <w:szCs w:val="24"/>
        </w:rPr>
      </w:pPr>
      <w:r w:rsidRPr="00CF4313">
        <w:rPr>
          <w:noProof/>
          <w:sz w:val="24"/>
          <w:szCs w:val="24"/>
        </w:rPr>
        <w:drawing>
          <wp:inline distT="0" distB="0" distL="0" distR="0" wp14:anchorId="6D4859ED" wp14:editId="0BAEC4B3">
            <wp:extent cx="5109845" cy="3127375"/>
            <wp:effectExtent l="0" t="0" r="0" b="0"/>
            <wp:docPr id="2" name="Image 2" descr="Cycle AR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cle ARC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459" w:rsidRPr="00CB18D5" w:rsidRDefault="00BC4459" w:rsidP="00BC4459">
      <w:pPr>
        <w:jc w:val="center"/>
        <w:rPr>
          <w:b/>
          <w:i/>
          <w:sz w:val="24"/>
          <w:szCs w:val="24"/>
        </w:rPr>
      </w:pPr>
      <w:r w:rsidRPr="00CB18D5">
        <w:rPr>
          <w:b/>
          <w:i/>
          <w:sz w:val="24"/>
          <w:szCs w:val="24"/>
        </w:rPr>
        <w:t>Principe de la méthode ARCHI</w:t>
      </w:r>
    </w:p>
    <w:p w:rsidR="00BC4459" w:rsidRDefault="00BC4459" w:rsidP="00BC4459">
      <w:pPr>
        <w:jc w:val="both"/>
        <w:rPr>
          <w:sz w:val="24"/>
          <w:szCs w:val="24"/>
        </w:rPr>
      </w:pPr>
    </w:p>
    <w:p w:rsidR="00BC4459" w:rsidRDefault="00AA361D" w:rsidP="00BC4459">
      <w:pPr>
        <w:jc w:val="both"/>
        <w:rPr>
          <w:sz w:val="24"/>
          <w:szCs w:val="24"/>
        </w:rPr>
      </w:pPr>
      <w:r w:rsidRPr="001A5D33">
        <w:rPr>
          <w:rFonts w:ascii="Arial" w:hAnsi="Arial" w:cs="Arial"/>
          <w:b/>
          <w:color w:val="993300"/>
          <w:sz w:val="44"/>
          <w:szCs w:val="44"/>
          <w:lang w:eastAsia="ar-SA"/>
        </w:rPr>
        <w:t>U</w:t>
      </w:r>
      <w:r w:rsidRPr="001A5D33">
        <w:rPr>
          <w:rFonts w:ascii="Arial" w:hAnsi="Arial" w:cs="Arial"/>
          <w:b/>
          <w:color w:val="993300"/>
          <w:sz w:val="24"/>
          <w:szCs w:val="24"/>
          <w:lang w:eastAsia="ar-SA"/>
        </w:rPr>
        <w:t>tilisation :</w:t>
      </w:r>
      <w:r w:rsidRPr="001A5D33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C4459" w:rsidRPr="00CF4313">
        <w:rPr>
          <w:sz w:val="24"/>
          <w:szCs w:val="24"/>
        </w:rPr>
        <w:t>a méthode ARCHI est aujourd’hui di</w:t>
      </w:r>
      <w:r w:rsidR="00BC4459">
        <w:rPr>
          <w:sz w:val="24"/>
          <w:szCs w:val="24"/>
        </w:rPr>
        <w:t>sponible pour</w:t>
      </w:r>
      <w:r w:rsidR="00BC4459" w:rsidRPr="00CF4313">
        <w:rPr>
          <w:sz w:val="24"/>
          <w:szCs w:val="24"/>
        </w:rPr>
        <w:t xml:space="preserve"> </w:t>
      </w:r>
      <w:r w:rsidR="00BC4459">
        <w:rPr>
          <w:sz w:val="24"/>
          <w:szCs w:val="24"/>
        </w:rPr>
        <w:t xml:space="preserve">10 </w:t>
      </w:r>
      <w:r w:rsidR="00BC4459" w:rsidRPr="00CF4313">
        <w:rPr>
          <w:sz w:val="24"/>
          <w:szCs w:val="24"/>
        </w:rPr>
        <w:t>espèces: le chêne pédonculé, le chêne sessile, le chêne pubescent, le châtaignier,</w:t>
      </w:r>
      <w:r w:rsidR="00BC4459">
        <w:rPr>
          <w:sz w:val="24"/>
          <w:szCs w:val="24"/>
        </w:rPr>
        <w:t xml:space="preserve"> le hêtre, le Douglas,</w:t>
      </w:r>
      <w:r w:rsidR="00BC4459" w:rsidRPr="00CF4313">
        <w:rPr>
          <w:sz w:val="24"/>
          <w:szCs w:val="24"/>
        </w:rPr>
        <w:t xml:space="preserve"> le sapin pectiné</w:t>
      </w:r>
      <w:r w:rsidR="00BC4459">
        <w:rPr>
          <w:sz w:val="24"/>
          <w:szCs w:val="24"/>
        </w:rPr>
        <w:t xml:space="preserve">, le pin à crochets, le pin sylvestre et le pin noir de </w:t>
      </w:r>
      <w:proofErr w:type="spellStart"/>
      <w:r w:rsidR="00BC4459">
        <w:rPr>
          <w:sz w:val="24"/>
          <w:szCs w:val="24"/>
        </w:rPr>
        <w:t>Salzmann</w:t>
      </w:r>
      <w:proofErr w:type="spellEnd"/>
      <w:r w:rsidR="00BC4459">
        <w:rPr>
          <w:sz w:val="24"/>
          <w:szCs w:val="24"/>
        </w:rPr>
        <w:t>.</w:t>
      </w:r>
      <w:r w:rsidR="00BC4459" w:rsidRPr="00E63ABD">
        <w:rPr>
          <w:sz w:val="24"/>
          <w:szCs w:val="24"/>
        </w:rPr>
        <w:t xml:space="preserve"> </w:t>
      </w:r>
    </w:p>
    <w:p w:rsidR="00D7414F" w:rsidRDefault="00D7414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414F" w:rsidRPr="00D7414F" w:rsidRDefault="00D7414F" w:rsidP="00D7414F">
      <w:pPr>
        <w:jc w:val="both"/>
        <w:rPr>
          <w:sz w:val="24"/>
          <w:szCs w:val="24"/>
        </w:rPr>
      </w:pPr>
      <w:r w:rsidRPr="00D7414F">
        <w:rPr>
          <w:sz w:val="24"/>
          <w:szCs w:val="24"/>
        </w:rPr>
        <w:lastRenderedPageBreak/>
        <w:t xml:space="preserve">Une </w:t>
      </w:r>
      <w:r w:rsidRPr="001A2CBA">
        <w:rPr>
          <w:rFonts w:ascii="Arial" w:hAnsi="Arial" w:cs="Arial"/>
          <w:b/>
          <w:color w:val="993300"/>
          <w:sz w:val="24"/>
          <w:szCs w:val="24"/>
          <w:lang w:eastAsia="ar-SA"/>
        </w:rPr>
        <w:t>appli</w:t>
      </w:r>
      <w:r w:rsidRPr="00D7414F">
        <w:rPr>
          <w:b/>
          <w:sz w:val="24"/>
          <w:szCs w:val="24"/>
        </w:rPr>
        <w:t xml:space="preserve"> </w:t>
      </w:r>
      <w:r w:rsidR="001A2CBA" w:rsidRPr="001A2CBA">
        <w:rPr>
          <w:sz w:val="24"/>
          <w:szCs w:val="24"/>
        </w:rPr>
        <w:t>(CNPF-DSF-CIRAD-INRA</w:t>
      </w:r>
      <w:r w:rsidR="001A2CBA">
        <w:rPr>
          <w:b/>
          <w:sz w:val="24"/>
          <w:szCs w:val="24"/>
        </w:rPr>
        <w:t xml:space="preserve">) </w:t>
      </w:r>
      <w:r w:rsidRPr="00D7414F">
        <w:rPr>
          <w:sz w:val="24"/>
          <w:szCs w:val="24"/>
        </w:rPr>
        <w:t xml:space="preserve">spécifique est disponible sur téléphones et tablettes </w:t>
      </w:r>
      <w:proofErr w:type="spellStart"/>
      <w:r w:rsidRPr="00D7414F">
        <w:rPr>
          <w:sz w:val="24"/>
          <w:szCs w:val="24"/>
        </w:rPr>
        <w:t>android</w:t>
      </w:r>
      <w:proofErr w:type="spellEnd"/>
      <w:r w:rsidRPr="00D7414F">
        <w:rPr>
          <w:sz w:val="24"/>
          <w:szCs w:val="24"/>
        </w:rPr>
        <w:t xml:space="preserve"> (photo). Elle permet de: </w:t>
      </w:r>
    </w:p>
    <w:p w:rsidR="00D7414F" w:rsidRPr="00D7414F" w:rsidRDefault="00D7414F" w:rsidP="00D7414F">
      <w:pPr>
        <w:jc w:val="both"/>
        <w:rPr>
          <w:sz w:val="24"/>
          <w:szCs w:val="24"/>
        </w:rPr>
      </w:pPr>
      <w:r w:rsidRPr="00D7414F">
        <w:rPr>
          <w:sz w:val="24"/>
          <w:szCs w:val="24"/>
        </w:rPr>
        <w:t>- choisir l’essence souhaitée et la clé de détermination ARCHI correspondante,</w:t>
      </w:r>
    </w:p>
    <w:p w:rsidR="00D7414F" w:rsidRPr="00D7414F" w:rsidRDefault="00D7414F" w:rsidP="00D7414F">
      <w:pPr>
        <w:jc w:val="both"/>
        <w:rPr>
          <w:sz w:val="24"/>
          <w:szCs w:val="24"/>
        </w:rPr>
      </w:pPr>
      <w:r w:rsidRPr="00D7414F">
        <w:rPr>
          <w:sz w:val="24"/>
          <w:szCs w:val="24"/>
        </w:rPr>
        <w:t xml:space="preserve">- consulter des aides iconographiques ou des définitions, </w:t>
      </w:r>
    </w:p>
    <w:p w:rsidR="00D7414F" w:rsidRPr="00D7414F" w:rsidRDefault="00D7414F" w:rsidP="00D7414F">
      <w:pPr>
        <w:jc w:val="both"/>
        <w:rPr>
          <w:sz w:val="24"/>
          <w:szCs w:val="24"/>
        </w:rPr>
      </w:pPr>
      <w:r w:rsidRPr="00D7414F">
        <w:rPr>
          <w:sz w:val="24"/>
          <w:szCs w:val="24"/>
        </w:rPr>
        <w:t xml:space="preserve">- </w:t>
      </w:r>
      <w:proofErr w:type="spellStart"/>
      <w:r w:rsidRPr="00D7414F">
        <w:rPr>
          <w:sz w:val="24"/>
          <w:szCs w:val="24"/>
        </w:rPr>
        <w:t>géolocaliser</w:t>
      </w:r>
      <w:proofErr w:type="spellEnd"/>
      <w:r w:rsidRPr="00D7414F">
        <w:rPr>
          <w:sz w:val="24"/>
          <w:szCs w:val="24"/>
        </w:rPr>
        <w:t xml:space="preserve"> et prendre en photos les arbres, </w:t>
      </w:r>
    </w:p>
    <w:p w:rsidR="00D7414F" w:rsidRPr="00D7414F" w:rsidRDefault="00D7414F" w:rsidP="00D7414F">
      <w:pPr>
        <w:jc w:val="both"/>
        <w:rPr>
          <w:sz w:val="24"/>
          <w:szCs w:val="24"/>
        </w:rPr>
      </w:pPr>
      <w:r w:rsidRPr="00D7414F">
        <w:rPr>
          <w:sz w:val="24"/>
          <w:szCs w:val="24"/>
        </w:rPr>
        <w:t xml:space="preserve">- archiver les notations ARCHI et les transférer par mail vers une base de données dédiée, </w:t>
      </w:r>
    </w:p>
    <w:p w:rsidR="00AA361D" w:rsidRDefault="00D7414F" w:rsidP="00D7414F">
      <w:pPr>
        <w:jc w:val="both"/>
        <w:rPr>
          <w:sz w:val="24"/>
          <w:szCs w:val="24"/>
        </w:rPr>
      </w:pPr>
      <w:r w:rsidRPr="00D7414F">
        <w:rPr>
          <w:sz w:val="24"/>
          <w:szCs w:val="24"/>
        </w:rPr>
        <w:t>- traiter statistiquement les données de terrain pour conseiller les propriétaires forestiers.</w:t>
      </w:r>
    </w:p>
    <w:p w:rsidR="00D7414F" w:rsidRDefault="00D7414F" w:rsidP="00D7414F">
      <w:pPr>
        <w:jc w:val="both"/>
        <w:rPr>
          <w:sz w:val="24"/>
          <w:szCs w:val="24"/>
        </w:rPr>
      </w:pPr>
    </w:p>
    <w:p w:rsidR="00D7414F" w:rsidRDefault="00D7414F" w:rsidP="00DA6CB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A9524A5" wp14:editId="06ABA77C">
            <wp:extent cx="5472000" cy="3648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_11_07 Appli arch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000" cy="3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14F" w:rsidRPr="00D7414F" w:rsidRDefault="00FB3C91" w:rsidP="00A34B1B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7414F" w:rsidRPr="00D7414F">
        <w:rPr>
          <w:sz w:val="20"/>
          <w:szCs w:val="20"/>
        </w:rPr>
        <w:t>©</w:t>
      </w:r>
      <w:proofErr w:type="spellStart"/>
      <w:r w:rsidR="00D7414F" w:rsidRPr="00D7414F">
        <w:rPr>
          <w:sz w:val="20"/>
          <w:szCs w:val="20"/>
        </w:rPr>
        <w:t>G.Sajdak</w:t>
      </w:r>
      <w:proofErr w:type="spellEnd"/>
      <w:r w:rsidR="00D7414F" w:rsidRPr="00D7414F">
        <w:rPr>
          <w:sz w:val="20"/>
          <w:szCs w:val="20"/>
        </w:rPr>
        <w:t xml:space="preserve"> -CNPF</w:t>
      </w:r>
    </w:p>
    <w:p w:rsidR="00D7414F" w:rsidRDefault="00D7414F" w:rsidP="00AA361D">
      <w:pPr>
        <w:rPr>
          <w:b/>
          <w:sz w:val="24"/>
          <w:szCs w:val="24"/>
        </w:rPr>
      </w:pPr>
    </w:p>
    <w:p w:rsidR="00AA361D" w:rsidRDefault="00AA361D" w:rsidP="00DA6CB3">
      <w:pPr>
        <w:jc w:val="both"/>
      </w:pPr>
      <w:r w:rsidRPr="001A5D33">
        <w:rPr>
          <w:rFonts w:ascii="Arial" w:hAnsi="Arial" w:cs="Arial"/>
          <w:b/>
          <w:color w:val="993300"/>
          <w:sz w:val="44"/>
          <w:szCs w:val="44"/>
          <w:lang w:eastAsia="ar-SA"/>
        </w:rPr>
        <w:t>V</w:t>
      </w:r>
      <w:r w:rsidRPr="001A5D33">
        <w:rPr>
          <w:rFonts w:ascii="Arial" w:hAnsi="Arial" w:cs="Arial"/>
          <w:b/>
          <w:color w:val="993300"/>
          <w:sz w:val="24"/>
          <w:szCs w:val="24"/>
          <w:lang w:eastAsia="ar-SA"/>
        </w:rPr>
        <w:t>alidation :</w:t>
      </w:r>
      <w:r w:rsidRPr="001A5D33">
        <w:rPr>
          <w:sz w:val="24"/>
          <w:szCs w:val="24"/>
        </w:rPr>
        <w:t xml:space="preserve"> </w:t>
      </w:r>
      <w:r>
        <w:rPr>
          <w:sz w:val="24"/>
          <w:szCs w:val="24"/>
        </w:rPr>
        <w:t>la méthode a scientifiquement été validée par dendrochro</w:t>
      </w:r>
      <w:r w:rsidR="00DA6CB3">
        <w:rPr>
          <w:sz w:val="24"/>
          <w:szCs w:val="24"/>
        </w:rPr>
        <w:t>nologie pour le chêne pédonculé.</w:t>
      </w:r>
    </w:p>
    <w:p w:rsidR="00BC4459" w:rsidRDefault="00BC4459" w:rsidP="00DA6CB3">
      <w:pPr>
        <w:jc w:val="both"/>
        <w:rPr>
          <w:sz w:val="24"/>
          <w:szCs w:val="24"/>
        </w:rPr>
      </w:pPr>
    </w:p>
    <w:p w:rsidR="00DA6CB3" w:rsidRPr="001A5D33" w:rsidRDefault="00DA6CB3" w:rsidP="00DA6CB3">
      <w:pPr>
        <w:jc w:val="both"/>
        <w:rPr>
          <w:rFonts w:ascii="Arial" w:hAnsi="Arial" w:cs="Arial"/>
          <w:b/>
          <w:color w:val="993300"/>
          <w:sz w:val="24"/>
          <w:szCs w:val="24"/>
          <w:lang w:eastAsia="ar-SA"/>
        </w:rPr>
      </w:pPr>
      <w:r w:rsidRPr="001A5D33">
        <w:rPr>
          <w:rFonts w:ascii="Arial" w:hAnsi="Arial" w:cs="Arial"/>
          <w:b/>
          <w:color w:val="993300"/>
          <w:sz w:val="44"/>
          <w:szCs w:val="44"/>
          <w:lang w:eastAsia="ar-SA"/>
        </w:rPr>
        <w:t>P</w:t>
      </w:r>
      <w:r w:rsidRPr="001A5D33">
        <w:rPr>
          <w:rFonts w:ascii="Arial" w:hAnsi="Arial" w:cs="Arial"/>
          <w:b/>
          <w:color w:val="993300"/>
          <w:sz w:val="24"/>
          <w:szCs w:val="24"/>
          <w:lang w:eastAsia="ar-SA"/>
        </w:rPr>
        <w:t>ublications :</w:t>
      </w:r>
    </w:p>
    <w:p w:rsidR="00DA6CB3" w:rsidRDefault="00DA6CB3" w:rsidP="00DA6CB3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Drénou</w:t>
      </w:r>
      <w:proofErr w:type="spellEnd"/>
      <w:r>
        <w:rPr>
          <w:bCs/>
        </w:rPr>
        <w:t xml:space="preserve"> C., Bouvier M., </w:t>
      </w:r>
      <w:smartTag w:uri="urn:schemas-microsoft-com:office:smarttags" w:element="PersonName">
        <w:smartTagPr>
          <w:attr w:name="ProductID" w:val="Lemaire J."/>
        </w:smartTagPr>
        <w:r>
          <w:rPr>
            <w:bCs/>
          </w:rPr>
          <w:t>Lemaire J.</w:t>
        </w:r>
      </w:smartTag>
      <w:r>
        <w:rPr>
          <w:bCs/>
        </w:rPr>
        <w:t xml:space="preserve"> 2011 – La méthode de diagnostic ARCHI, application aux chênes pédonculés </w:t>
      </w:r>
      <w:proofErr w:type="spellStart"/>
      <w:r>
        <w:rPr>
          <w:bCs/>
        </w:rPr>
        <w:t>dépérissants</w:t>
      </w:r>
      <w:proofErr w:type="spellEnd"/>
      <w:r>
        <w:rPr>
          <w:bCs/>
        </w:rPr>
        <w:t xml:space="preserve">. </w:t>
      </w:r>
      <w:r>
        <w:rPr>
          <w:bCs/>
          <w:i/>
        </w:rPr>
        <w:t>Forêt-e</w:t>
      </w:r>
      <w:r w:rsidRPr="00C971CD">
        <w:rPr>
          <w:bCs/>
          <w:i/>
        </w:rPr>
        <w:t>ntreprise</w:t>
      </w:r>
      <w:r>
        <w:rPr>
          <w:bCs/>
          <w:i/>
        </w:rPr>
        <w:t>,</w:t>
      </w:r>
      <w:r>
        <w:rPr>
          <w:bCs/>
        </w:rPr>
        <w:t xml:space="preserve"> n°200, 4-15.</w:t>
      </w:r>
    </w:p>
    <w:p w:rsidR="00DA6CB3" w:rsidRDefault="00DA6CB3" w:rsidP="00DA6CB3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  <w:lang w:val="es-ES"/>
        </w:rPr>
      </w:pPr>
      <w:r w:rsidRPr="001E2978">
        <w:rPr>
          <w:bCs/>
        </w:rPr>
        <w:t>-</w:t>
      </w:r>
      <w:proofErr w:type="spellStart"/>
      <w:r w:rsidRPr="001E2978">
        <w:rPr>
          <w:bCs/>
        </w:rPr>
        <w:t>Drénou</w:t>
      </w:r>
      <w:proofErr w:type="spellEnd"/>
      <w:r w:rsidRPr="001E2978">
        <w:rPr>
          <w:bCs/>
        </w:rPr>
        <w:t xml:space="preserve"> C., Bouvier M., </w:t>
      </w:r>
      <w:smartTag w:uri="urn:schemas-microsoft-com:office:smarttags" w:element="PersonName">
        <w:smartTagPr>
          <w:attr w:name="ProductID" w:val="Lemaire J."/>
        </w:smartTagPr>
        <w:r w:rsidRPr="001E2978">
          <w:rPr>
            <w:bCs/>
          </w:rPr>
          <w:t>Lemaire J.</w:t>
        </w:r>
      </w:smartTag>
      <w:r w:rsidRPr="001E2978">
        <w:rPr>
          <w:bCs/>
        </w:rPr>
        <w:t xml:space="preserve"> 2012</w:t>
      </w:r>
      <w:r>
        <w:rPr>
          <w:bCs/>
        </w:rPr>
        <w:t xml:space="preserve"> – </w:t>
      </w:r>
      <w:r w:rsidRPr="001E2978">
        <w:rPr>
          <w:bCs/>
        </w:rPr>
        <w:t xml:space="preserve">Rôles des gourmands dans la résilience des chênes pédonculés </w:t>
      </w:r>
      <w:proofErr w:type="spellStart"/>
      <w:r w:rsidRPr="001E2978">
        <w:rPr>
          <w:bCs/>
        </w:rPr>
        <w:t>dépérissants</w:t>
      </w:r>
      <w:proofErr w:type="spellEnd"/>
      <w:r w:rsidRPr="001E2978">
        <w:rPr>
          <w:bCs/>
        </w:rPr>
        <w:t xml:space="preserve">. </w:t>
      </w:r>
      <w:proofErr w:type="spellStart"/>
      <w:r w:rsidRPr="00C971CD">
        <w:rPr>
          <w:bCs/>
          <w:i/>
          <w:lang w:val="es-ES"/>
        </w:rPr>
        <w:t>Forêt</w:t>
      </w:r>
      <w:proofErr w:type="spellEnd"/>
      <w:r w:rsidRPr="00C971CD">
        <w:rPr>
          <w:bCs/>
          <w:i/>
          <w:lang w:val="es-ES"/>
        </w:rPr>
        <w:t xml:space="preserve"> </w:t>
      </w:r>
      <w:proofErr w:type="spellStart"/>
      <w:r w:rsidRPr="00C971CD">
        <w:rPr>
          <w:bCs/>
          <w:i/>
          <w:lang w:val="es-ES"/>
        </w:rPr>
        <w:t>Wallonne</w:t>
      </w:r>
      <w:proofErr w:type="spellEnd"/>
      <w:r w:rsidRPr="00604041">
        <w:rPr>
          <w:bCs/>
          <w:lang w:val="es-ES"/>
        </w:rPr>
        <w:t>, n°116, 42-55.</w:t>
      </w:r>
    </w:p>
    <w:p w:rsidR="00DA6CB3" w:rsidRPr="001E2978" w:rsidRDefault="00DA6CB3" w:rsidP="00DA6CB3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r w:rsidRPr="001E2978">
        <w:rPr>
          <w:bCs/>
        </w:rPr>
        <w:t>-</w:t>
      </w:r>
      <w:proofErr w:type="spellStart"/>
      <w:r w:rsidRPr="001E2978">
        <w:rPr>
          <w:bCs/>
        </w:rPr>
        <w:t>Drénou</w:t>
      </w:r>
      <w:proofErr w:type="spellEnd"/>
      <w:r w:rsidRPr="001E2978">
        <w:rPr>
          <w:bCs/>
        </w:rPr>
        <w:t xml:space="preserve"> C., Giraud F., Gravier H., Sabatier S., Caraglio Y. 2013</w:t>
      </w:r>
      <w:r>
        <w:rPr>
          <w:bCs/>
        </w:rPr>
        <w:t xml:space="preserve"> – </w:t>
      </w:r>
      <w:r w:rsidRPr="001E2978">
        <w:rPr>
          <w:bCs/>
        </w:rPr>
        <w:t xml:space="preserve">Le diagnostic architectural : un outil d’évaluation des sapinières </w:t>
      </w:r>
      <w:proofErr w:type="spellStart"/>
      <w:r w:rsidRPr="001E2978">
        <w:rPr>
          <w:bCs/>
        </w:rPr>
        <w:t>dépérissantes</w:t>
      </w:r>
      <w:proofErr w:type="spellEnd"/>
      <w:r w:rsidRPr="001E2978">
        <w:rPr>
          <w:bCs/>
        </w:rPr>
        <w:t>. Forêt Méditerranéenne. T. XXXIV, n°2, 87-98.</w:t>
      </w:r>
    </w:p>
    <w:p w:rsidR="00DA6CB3" w:rsidRDefault="00DA6CB3" w:rsidP="00DA6CB3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r w:rsidRPr="001E2978">
        <w:rPr>
          <w:bCs/>
        </w:rPr>
        <w:t>-</w:t>
      </w:r>
      <w:proofErr w:type="spellStart"/>
      <w:r w:rsidRPr="001E2978">
        <w:rPr>
          <w:bCs/>
        </w:rPr>
        <w:t>Drénou</w:t>
      </w:r>
      <w:proofErr w:type="spellEnd"/>
      <w:r w:rsidRPr="001E2978">
        <w:rPr>
          <w:bCs/>
        </w:rPr>
        <w:t xml:space="preserve"> C. 2013</w:t>
      </w:r>
      <w:r>
        <w:rPr>
          <w:bCs/>
        </w:rPr>
        <w:t xml:space="preserve"> – </w:t>
      </w:r>
      <w:r w:rsidRPr="001E2978">
        <w:rPr>
          <w:bCs/>
        </w:rPr>
        <w:t xml:space="preserve">Diagnostic sanitaire des arbres, </w:t>
      </w:r>
      <w:smartTag w:uri="urn:schemas-microsoft-com:office:smarttags" w:element="PersonName">
        <w:smartTagPr>
          <w:attr w:name="ProductID" w:val="la m￩thode ARCHI. La"/>
        </w:smartTagPr>
        <w:r w:rsidRPr="001E2978">
          <w:rPr>
            <w:bCs/>
          </w:rPr>
          <w:t>la méthode ARCHI. La</w:t>
        </w:r>
      </w:smartTag>
      <w:r w:rsidRPr="001E2978">
        <w:rPr>
          <w:bCs/>
        </w:rPr>
        <w:t xml:space="preserve"> Forêt Privée, n°331, 64-69.</w:t>
      </w:r>
    </w:p>
    <w:p w:rsidR="00DA6CB3" w:rsidRPr="001E2978" w:rsidRDefault="00DA6CB3" w:rsidP="00DA6CB3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r w:rsidRPr="001E2978">
        <w:rPr>
          <w:bCs/>
        </w:rPr>
        <w:t>-</w:t>
      </w:r>
      <w:proofErr w:type="spellStart"/>
      <w:r w:rsidRPr="001E2978">
        <w:rPr>
          <w:bCs/>
        </w:rPr>
        <w:t>Drénou</w:t>
      </w:r>
      <w:proofErr w:type="spellEnd"/>
      <w:r w:rsidRPr="001E2978">
        <w:rPr>
          <w:bCs/>
        </w:rPr>
        <w:t xml:space="preserve"> C., Lambert J., Chéret V. 2014 – Jumelles et satellites : des outils pour la surveillance sanitaire des forêts. </w:t>
      </w:r>
      <w:r>
        <w:rPr>
          <w:bCs/>
          <w:i/>
        </w:rPr>
        <w:t>Forêt-e</w:t>
      </w:r>
      <w:r w:rsidRPr="00C971CD">
        <w:rPr>
          <w:bCs/>
          <w:i/>
        </w:rPr>
        <w:t>ntreprise</w:t>
      </w:r>
      <w:r w:rsidRPr="001E2978">
        <w:rPr>
          <w:bCs/>
        </w:rPr>
        <w:t>, n°214, 12-21.</w:t>
      </w:r>
    </w:p>
    <w:p w:rsidR="00DA6CB3" w:rsidRPr="001E2978" w:rsidRDefault="00DA6CB3" w:rsidP="00DA6CB3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r w:rsidRPr="001E2978">
        <w:rPr>
          <w:bCs/>
        </w:rPr>
        <w:t>-</w:t>
      </w:r>
      <w:proofErr w:type="spellStart"/>
      <w:r w:rsidRPr="001E2978">
        <w:rPr>
          <w:bCs/>
        </w:rPr>
        <w:t>Drénou</w:t>
      </w:r>
      <w:proofErr w:type="spellEnd"/>
      <w:r w:rsidRPr="001E2978">
        <w:rPr>
          <w:bCs/>
        </w:rPr>
        <w:t xml:space="preserve"> C. 2014 – Du gourmand au suppléant…Vocabulaire botanique, technique, anthropocentrique? </w:t>
      </w:r>
      <w:smartTag w:uri="urn:schemas-microsoft-com:office:smarttags" w:element="PersonName">
        <w:smartTagPr>
          <w:attr w:name="ProductID" w:val="La Garance Voyageuse"/>
        </w:smartTagPr>
        <w:r w:rsidRPr="001E2978">
          <w:rPr>
            <w:bCs/>
          </w:rPr>
          <w:t>La Garance Voyageuse</w:t>
        </w:r>
      </w:smartTag>
      <w:r w:rsidRPr="001E2978">
        <w:rPr>
          <w:bCs/>
        </w:rPr>
        <w:t>, n°105, 6-11</w:t>
      </w:r>
    </w:p>
    <w:p w:rsidR="00DA6CB3" w:rsidRDefault="00DA6CB3" w:rsidP="00DA6CB3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r w:rsidRPr="001E2978">
        <w:rPr>
          <w:bCs/>
        </w:rPr>
        <w:lastRenderedPageBreak/>
        <w:t>-</w:t>
      </w:r>
      <w:proofErr w:type="spellStart"/>
      <w:r w:rsidRPr="001E2978">
        <w:rPr>
          <w:bCs/>
        </w:rPr>
        <w:t>Drénou</w:t>
      </w:r>
      <w:proofErr w:type="spellEnd"/>
      <w:r w:rsidRPr="001E2978">
        <w:rPr>
          <w:bCs/>
        </w:rPr>
        <w:t xml:space="preserve"> C., </w:t>
      </w:r>
      <w:smartTag w:uri="urn:schemas-microsoft-com:office:smarttags" w:element="PersonName">
        <w:smartTagPr>
          <w:attr w:name="ProductID" w:val="Rosa J."/>
        </w:smartTagPr>
        <w:r w:rsidRPr="001E2978">
          <w:rPr>
            <w:bCs/>
          </w:rPr>
          <w:t>Rosa J.</w:t>
        </w:r>
      </w:smartTag>
      <w:r w:rsidRPr="001E2978">
        <w:rPr>
          <w:bCs/>
        </w:rPr>
        <w:t xml:space="preserve"> 2014 – Comment le douglas </w:t>
      </w:r>
      <w:proofErr w:type="spellStart"/>
      <w:r w:rsidRPr="001E2978">
        <w:rPr>
          <w:bCs/>
        </w:rPr>
        <w:t>réagit-il</w:t>
      </w:r>
      <w:proofErr w:type="spellEnd"/>
      <w:r w:rsidRPr="001E2978">
        <w:rPr>
          <w:bCs/>
        </w:rPr>
        <w:t xml:space="preserve"> aux sécheresses ?</w:t>
      </w:r>
      <w:r>
        <w:rPr>
          <w:bCs/>
        </w:rPr>
        <w:t xml:space="preserve"> Application de </w:t>
      </w:r>
      <w:smartTag w:uri="urn:schemas-microsoft-com:office:smarttags" w:element="PersonName">
        <w:smartTagPr>
          <w:attr w:name="ProductID" w:val="La m￩thode ARCHI"/>
        </w:smartTagPr>
        <w:r>
          <w:rPr>
            <w:bCs/>
          </w:rPr>
          <w:t>la méthode ARCHI</w:t>
        </w:r>
      </w:smartTag>
      <w:r>
        <w:rPr>
          <w:bCs/>
        </w:rPr>
        <w:t xml:space="preserve"> au suivi des dépérissements de douglas. </w:t>
      </w:r>
      <w:r w:rsidRPr="00C971CD">
        <w:rPr>
          <w:bCs/>
          <w:i/>
        </w:rPr>
        <w:t>Forêt-entreprise</w:t>
      </w:r>
      <w:r>
        <w:rPr>
          <w:bCs/>
        </w:rPr>
        <w:t>, n°216, 6-17.</w:t>
      </w:r>
    </w:p>
    <w:p w:rsidR="00DA6CB3" w:rsidRDefault="00DA6CB3" w:rsidP="00DA6CB3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r>
        <w:rPr>
          <w:bCs/>
        </w:rPr>
        <w:t xml:space="preserve">-Sabatier S., Caraglio Y., </w:t>
      </w:r>
      <w:proofErr w:type="spellStart"/>
      <w:r>
        <w:rPr>
          <w:bCs/>
        </w:rPr>
        <w:t>Drénou</w:t>
      </w:r>
      <w:proofErr w:type="spellEnd"/>
      <w:r>
        <w:rPr>
          <w:bCs/>
        </w:rPr>
        <w:t xml:space="preserve"> C., 2014 – L’architecture des arbres au service des forestiers. </w:t>
      </w:r>
      <w:r w:rsidRPr="00C971CD">
        <w:rPr>
          <w:bCs/>
          <w:i/>
        </w:rPr>
        <w:t>Forêt-entreprise</w:t>
      </w:r>
      <w:r>
        <w:rPr>
          <w:bCs/>
        </w:rPr>
        <w:t>, n°217, 42-45.</w:t>
      </w:r>
    </w:p>
    <w:p w:rsidR="00DA6CB3" w:rsidRPr="00DD510D" w:rsidRDefault="00DA6CB3" w:rsidP="00DA6CB3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r>
        <w:rPr>
          <w:bCs/>
        </w:rPr>
        <w:t>-</w:t>
      </w:r>
      <w:proofErr w:type="spellStart"/>
      <w:r w:rsidRPr="00DD510D">
        <w:rPr>
          <w:bCs/>
        </w:rPr>
        <w:t>Drénou</w:t>
      </w:r>
      <w:proofErr w:type="spellEnd"/>
      <w:r w:rsidRPr="00DD510D">
        <w:rPr>
          <w:bCs/>
        </w:rPr>
        <w:t xml:space="preserve"> C., Bouvier M., </w:t>
      </w:r>
      <w:smartTag w:uri="urn:schemas-microsoft-com:office:smarttags" w:element="PersonName">
        <w:smartTagPr>
          <w:attr w:name="ProductID" w:val="Lemaire J."/>
        </w:smartTagPr>
        <w:r w:rsidRPr="00DD510D">
          <w:rPr>
            <w:bCs/>
          </w:rPr>
          <w:t>Lemaire J.</w:t>
        </w:r>
      </w:smartTag>
      <w:r w:rsidRPr="00DD510D">
        <w:rPr>
          <w:bCs/>
        </w:rPr>
        <w:t xml:space="preserve"> 2015 – The diagnostic </w:t>
      </w:r>
      <w:proofErr w:type="spellStart"/>
      <w:r w:rsidRPr="00DD510D">
        <w:rPr>
          <w:bCs/>
        </w:rPr>
        <w:t>method</w:t>
      </w:r>
      <w:proofErr w:type="spellEnd"/>
      <w:r w:rsidRPr="00DD510D">
        <w:rPr>
          <w:bCs/>
        </w:rPr>
        <w:t xml:space="preserve"> ARCHI </w:t>
      </w:r>
      <w:proofErr w:type="spellStart"/>
      <w:r w:rsidRPr="00DD510D">
        <w:rPr>
          <w:bCs/>
        </w:rPr>
        <w:t>applied</w:t>
      </w:r>
      <w:proofErr w:type="spellEnd"/>
      <w:r w:rsidRPr="00DD510D">
        <w:rPr>
          <w:bCs/>
        </w:rPr>
        <w:t xml:space="preserve"> on </w:t>
      </w:r>
      <w:proofErr w:type="spellStart"/>
      <w:r w:rsidRPr="00DD510D">
        <w:rPr>
          <w:bCs/>
        </w:rPr>
        <w:t>declining</w:t>
      </w:r>
      <w:proofErr w:type="spellEnd"/>
      <w:r w:rsidRPr="00DD510D">
        <w:rPr>
          <w:bCs/>
        </w:rPr>
        <w:t xml:space="preserve"> </w:t>
      </w:r>
      <w:proofErr w:type="spellStart"/>
      <w:r w:rsidRPr="00DD510D">
        <w:rPr>
          <w:bCs/>
        </w:rPr>
        <w:t>pedunculate</w:t>
      </w:r>
      <w:proofErr w:type="spellEnd"/>
      <w:r w:rsidRPr="00DD510D">
        <w:rPr>
          <w:bCs/>
        </w:rPr>
        <w:t xml:space="preserve"> </w:t>
      </w:r>
      <w:proofErr w:type="spellStart"/>
      <w:r w:rsidRPr="00DD510D">
        <w:rPr>
          <w:bCs/>
        </w:rPr>
        <w:t>oaks</w:t>
      </w:r>
      <w:proofErr w:type="spellEnd"/>
      <w:r w:rsidRPr="00DD510D">
        <w:rPr>
          <w:bCs/>
        </w:rPr>
        <w:t xml:space="preserve">. </w:t>
      </w:r>
      <w:proofErr w:type="spellStart"/>
      <w:r w:rsidRPr="00DD510D">
        <w:rPr>
          <w:bCs/>
          <w:i/>
        </w:rPr>
        <w:t>Arboricultural</w:t>
      </w:r>
      <w:proofErr w:type="spellEnd"/>
      <w:r w:rsidRPr="00DD510D">
        <w:rPr>
          <w:bCs/>
          <w:i/>
        </w:rPr>
        <w:t xml:space="preserve"> Journal</w:t>
      </w:r>
      <w:r w:rsidRPr="00DD510D">
        <w:rPr>
          <w:bCs/>
        </w:rPr>
        <w:t xml:space="preserve">, vol. 37, </w:t>
      </w:r>
      <w:r>
        <w:rPr>
          <w:bCs/>
        </w:rPr>
        <w:t xml:space="preserve">n°3, </w:t>
      </w:r>
      <w:r w:rsidRPr="00DD510D">
        <w:rPr>
          <w:bCs/>
        </w:rPr>
        <w:t>166-179.</w:t>
      </w:r>
    </w:p>
    <w:p w:rsidR="00A34B1B" w:rsidRDefault="00DA6CB3" w:rsidP="001A2CBA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r>
        <w:rPr>
          <w:bCs/>
        </w:rPr>
        <w:t>-</w:t>
      </w:r>
      <w:proofErr w:type="spellStart"/>
      <w:r w:rsidRPr="002603B6">
        <w:rPr>
          <w:bCs/>
        </w:rPr>
        <w:t>Lebourgeois</w:t>
      </w:r>
      <w:proofErr w:type="spellEnd"/>
      <w:r w:rsidRPr="002603B6">
        <w:rPr>
          <w:bCs/>
        </w:rPr>
        <w:t xml:space="preserve"> F., </w:t>
      </w:r>
      <w:proofErr w:type="spellStart"/>
      <w:r w:rsidRPr="002603B6">
        <w:rPr>
          <w:bCs/>
        </w:rPr>
        <w:t>Drénou</w:t>
      </w:r>
      <w:proofErr w:type="spellEnd"/>
      <w:r w:rsidRPr="002603B6">
        <w:rPr>
          <w:bCs/>
        </w:rPr>
        <w:t xml:space="preserve"> C., Bouvier M.,</w:t>
      </w:r>
      <w:r>
        <w:rPr>
          <w:bCs/>
        </w:rPr>
        <w:t xml:space="preserve"> </w:t>
      </w:r>
      <w:smartTag w:uri="urn:schemas-microsoft-com:office:smarttags" w:element="PersonName">
        <w:smartTagPr>
          <w:attr w:name="ProductID" w:val="Lemaire J."/>
        </w:smartTagPr>
        <w:r>
          <w:rPr>
            <w:bCs/>
          </w:rPr>
          <w:t>Lemaire J.</w:t>
        </w:r>
      </w:smartTag>
      <w:r>
        <w:rPr>
          <w:bCs/>
        </w:rPr>
        <w:t xml:space="preserve"> 2015 – Caractérisation de la croissance des chênaies pédonculées atlantiques </w:t>
      </w:r>
      <w:proofErr w:type="spellStart"/>
      <w:r>
        <w:rPr>
          <w:bCs/>
        </w:rPr>
        <w:t>dépérissantes</w:t>
      </w:r>
      <w:proofErr w:type="spellEnd"/>
      <w:r>
        <w:rPr>
          <w:bCs/>
        </w:rPr>
        <w:t xml:space="preserve"> : effets des sécheresses et relation avec l’architecture des houppiers. </w:t>
      </w:r>
      <w:r w:rsidRPr="002603B6">
        <w:rPr>
          <w:bCs/>
          <w:i/>
        </w:rPr>
        <w:t>Revue Forestière Française</w:t>
      </w:r>
      <w:r>
        <w:rPr>
          <w:bCs/>
        </w:rPr>
        <w:t>, vol. LXVII, n°4, 333-351.</w:t>
      </w:r>
    </w:p>
    <w:p w:rsidR="00AE1F48" w:rsidRPr="00C971CD" w:rsidRDefault="00AE1F48" w:rsidP="001A2CBA">
      <w:pPr>
        <w:widowControl w:val="0"/>
        <w:autoSpaceDE w:val="0"/>
        <w:autoSpaceDN w:val="0"/>
        <w:adjustRightInd w:val="0"/>
        <w:spacing w:after="160"/>
        <w:ind w:left="113" w:hanging="113"/>
        <w:jc w:val="both"/>
        <w:rPr>
          <w:bCs/>
        </w:rPr>
      </w:pPr>
      <w:bookmarkStart w:id="0" w:name="_GoBack"/>
      <w:bookmarkEnd w:id="0"/>
    </w:p>
    <w:p w:rsidR="00FB3C91" w:rsidRDefault="00FB3C91" w:rsidP="00FB3C91">
      <w:pPr>
        <w:spacing w:after="160" w:line="259" w:lineRule="auto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47E6EDC6" wp14:editId="013CB1A8">
            <wp:extent cx="3771900" cy="6638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BC4459" w:rsidRDefault="00B047B4" w:rsidP="00FB3C9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5DAFD0" wp14:editId="5D4CD8DB">
            <wp:extent cx="8129981" cy="6063432"/>
            <wp:effectExtent l="4763" t="0" r="9207" b="9208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58627" cy="608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459" w:rsidSect="00AE1F48">
      <w:footerReference w:type="defaul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1A" w:rsidRDefault="001D5F1A" w:rsidP="00AA361D">
      <w:r>
        <w:separator/>
      </w:r>
    </w:p>
  </w:endnote>
  <w:endnote w:type="continuationSeparator" w:id="0">
    <w:p w:rsidR="001D5F1A" w:rsidRDefault="001D5F1A" w:rsidP="00AA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1D" w:rsidRPr="001A2CBA" w:rsidRDefault="00AA361D">
    <w:pPr>
      <w:pStyle w:val="Pieddepage"/>
      <w:rPr>
        <w:color w:val="808080" w:themeColor="background1" w:themeShade="80"/>
        <w:sz w:val="16"/>
        <w:szCs w:val="16"/>
      </w:rPr>
    </w:pPr>
    <w:r w:rsidRPr="001A2CBA">
      <w:rPr>
        <w:color w:val="808080" w:themeColor="background1" w:themeShade="80"/>
        <w:sz w:val="16"/>
        <w:szCs w:val="16"/>
      </w:rPr>
      <w:t xml:space="preserve">Christophe </w:t>
    </w:r>
    <w:proofErr w:type="spellStart"/>
    <w:r w:rsidRPr="001A2CBA">
      <w:rPr>
        <w:color w:val="808080" w:themeColor="background1" w:themeShade="80"/>
        <w:sz w:val="16"/>
        <w:szCs w:val="16"/>
      </w:rPr>
      <w:t>Drénou</w:t>
    </w:r>
    <w:proofErr w:type="spellEnd"/>
    <w:r w:rsidRPr="001A2CBA">
      <w:rPr>
        <w:color w:val="808080" w:themeColor="background1" w:themeShade="80"/>
        <w:sz w:val="16"/>
        <w:szCs w:val="16"/>
      </w:rPr>
      <w:t>, IDF Toulouse, Journées nationales du CNPF, 15 et 16 novembre 2017, Orléans</w:t>
    </w:r>
  </w:p>
  <w:p w:rsidR="00AA361D" w:rsidRDefault="00AA36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1A" w:rsidRDefault="001D5F1A" w:rsidP="00AA361D">
      <w:r>
        <w:separator/>
      </w:r>
    </w:p>
  </w:footnote>
  <w:footnote w:type="continuationSeparator" w:id="0">
    <w:p w:rsidR="001D5F1A" w:rsidRDefault="001D5F1A" w:rsidP="00AA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59"/>
    <w:rsid w:val="00080AEB"/>
    <w:rsid w:val="001A2CBA"/>
    <w:rsid w:val="001A5D33"/>
    <w:rsid w:val="001D5F1A"/>
    <w:rsid w:val="002C221F"/>
    <w:rsid w:val="003A2337"/>
    <w:rsid w:val="00477B66"/>
    <w:rsid w:val="004C26AD"/>
    <w:rsid w:val="00681DAF"/>
    <w:rsid w:val="006B20B7"/>
    <w:rsid w:val="007B3D58"/>
    <w:rsid w:val="00A34B1B"/>
    <w:rsid w:val="00AA361D"/>
    <w:rsid w:val="00AE1F48"/>
    <w:rsid w:val="00B047B4"/>
    <w:rsid w:val="00B20F50"/>
    <w:rsid w:val="00BC4459"/>
    <w:rsid w:val="00D05C34"/>
    <w:rsid w:val="00D166E8"/>
    <w:rsid w:val="00D7414F"/>
    <w:rsid w:val="00D9159B"/>
    <w:rsid w:val="00DA6CB3"/>
    <w:rsid w:val="00EB2E2E"/>
    <w:rsid w:val="00FB3C91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D61A-6BFE-4ED8-9558-B3622AB2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459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36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361D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36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61D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D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DAF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3A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CNPF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2</cp:revision>
  <cp:lastPrinted>2017-11-09T13:42:00Z</cp:lastPrinted>
  <dcterms:created xsi:type="dcterms:W3CDTF">2017-11-09T13:44:00Z</dcterms:created>
  <dcterms:modified xsi:type="dcterms:W3CDTF">2017-11-09T13:44:00Z</dcterms:modified>
</cp:coreProperties>
</file>